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70"/>
        <w:ind w:left="4759" w:right="0" w:firstLine="0"/>
        <w:jc w:val="left"/>
        <w:rPr>
          <w:sz w:val="16"/>
        </w:rPr>
      </w:pPr>
      <w:r>
        <w:rPr>
          <w:sz w:val="16"/>
        </w:rPr>
        <w:t>"2010</w:t>
      </w:r>
      <w:r>
        <w:rPr>
          <w:spacing w:val="-4"/>
          <w:sz w:val="16"/>
        </w:rPr>
        <w:t> </w:t>
      </w:r>
      <w:r>
        <w:rPr>
          <w:sz w:val="16"/>
        </w:rPr>
        <w:t>Año</w:t>
      </w:r>
      <w:r>
        <w:rPr>
          <w:spacing w:val="-4"/>
          <w:sz w:val="16"/>
        </w:rPr>
        <w:t> </w:t>
      </w:r>
      <w:r>
        <w:rPr>
          <w:sz w:val="16"/>
        </w:rPr>
        <w:t>del</w:t>
      </w:r>
      <w:r>
        <w:rPr>
          <w:spacing w:val="-4"/>
          <w:sz w:val="16"/>
        </w:rPr>
        <w:t> </w:t>
      </w:r>
      <w:r>
        <w:rPr>
          <w:sz w:val="16"/>
        </w:rPr>
        <w:t>Bicentenario</w:t>
      </w:r>
      <w:r>
        <w:rPr>
          <w:spacing w:val="-5"/>
          <w:sz w:val="16"/>
        </w:rPr>
        <w:t> </w:t>
      </w:r>
      <w:r>
        <w:rPr>
          <w:sz w:val="16"/>
        </w:rPr>
        <w:t>de</w:t>
      </w:r>
      <w:r>
        <w:rPr>
          <w:spacing w:val="-4"/>
          <w:sz w:val="16"/>
        </w:rPr>
        <w:t> </w:t>
      </w:r>
      <w:r>
        <w:rPr>
          <w:sz w:val="16"/>
        </w:rPr>
        <w:t>la</w:t>
      </w:r>
      <w:r>
        <w:rPr>
          <w:spacing w:val="-2"/>
          <w:sz w:val="16"/>
        </w:rPr>
        <w:t> </w:t>
      </w:r>
      <w:r>
        <w:rPr>
          <w:sz w:val="16"/>
        </w:rPr>
        <w:t>Revolución</w:t>
      </w:r>
      <w:r>
        <w:rPr>
          <w:spacing w:val="-3"/>
          <w:sz w:val="16"/>
        </w:rPr>
        <w:t> </w:t>
      </w:r>
      <w:r>
        <w:rPr>
          <w:sz w:val="16"/>
        </w:rPr>
        <w:t>de</w:t>
      </w:r>
      <w:r>
        <w:rPr>
          <w:spacing w:val="-4"/>
          <w:sz w:val="16"/>
        </w:rPr>
        <w:t> </w:t>
      </w:r>
      <w:r>
        <w:rPr>
          <w:sz w:val="16"/>
        </w:rPr>
        <w:t>Mayo</w:t>
      </w:r>
      <w:r>
        <w:rPr>
          <w:spacing w:val="-3"/>
          <w:sz w:val="16"/>
        </w:rPr>
        <w:t> </w:t>
      </w:r>
      <w:r>
        <w:rPr>
          <w:sz w:val="16"/>
        </w:rPr>
        <w:t>de</w:t>
      </w:r>
      <w:r>
        <w:rPr>
          <w:spacing w:val="-3"/>
          <w:sz w:val="16"/>
        </w:rPr>
        <w:t> </w:t>
      </w:r>
      <w:r>
        <w:rPr>
          <w:spacing w:val="-4"/>
          <w:sz w:val="16"/>
        </w:rPr>
        <w:t>1810"</w:t>
      </w: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Title"/>
      </w:pPr>
      <w:r>
        <w:rPr/>
        <w:t>La</w:t>
      </w:r>
      <w:r>
        <w:rPr>
          <w:spacing w:val="-4"/>
        </w:rPr>
        <w:t> </w:t>
      </w:r>
      <w:r>
        <w:rPr/>
        <w:t>Cámara</w:t>
      </w:r>
      <w:r>
        <w:rPr>
          <w:spacing w:val="-4"/>
        </w:rPr>
        <w:t> </w:t>
      </w:r>
      <w:r>
        <w:rPr/>
        <w:t>de</w:t>
      </w:r>
      <w:r>
        <w:rPr>
          <w:spacing w:val="-6"/>
        </w:rPr>
        <w:t> </w:t>
      </w:r>
      <w:r>
        <w:rPr/>
        <w:t>Diputados</w:t>
      </w:r>
      <w:r>
        <w:rPr>
          <w:spacing w:val="-6"/>
        </w:rPr>
        <w:t> </w:t>
      </w:r>
      <w:r>
        <w:rPr/>
        <w:t>de</w:t>
      </w:r>
      <w:r>
        <w:rPr>
          <w:spacing w:val="-4"/>
        </w:rPr>
        <w:t> </w:t>
      </w:r>
      <w:r>
        <w:rPr/>
        <w:t>la</w:t>
      </w:r>
      <w:r>
        <w:rPr>
          <w:spacing w:val="-4"/>
        </w:rPr>
        <w:t> </w:t>
      </w:r>
      <w:r>
        <w:rPr/>
        <w:t>Provincia</w:t>
      </w:r>
      <w:r>
        <w:rPr>
          <w:spacing w:val="-6"/>
        </w:rPr>
        <w:t> </w:t>
      </w:r>
      <w:r>
        <w:rPr/>
        <w:t>del</w:t>
      </w:r>
      <w:r>
        <w:rPr>
          <w:spacing w:val="-5"/>
        </w:rPr>
        <w:t> </w:t>
      </w:r>
      <w:r>
        <w:rPr/>
        <w:t>Chaco Sanciona con fuerza de Ley Nro. 6501</w:t>
      </w:r>
    </w:p>
    <w:p>
      <w:pPr>
        <w:pStyle w:val="BodyText"/>
        <w:spacing w:before="459"/>
        <w:ind w:left="101" w:right="115"/>
        <w:jc w:val="both"/>
      </w:pPr>
      <w:r>
        <w:rPr/>
        <w:t>ARTÍCULO 1°: Decláranse de utilidad pública e interés social y sujetos a expropiación los inmuebles ocupados con asentamientos espontáneos, cuyas identificaciones se detallan a continuación:</w:t>
      </w:r>
    </w:p>
    <w:p>
      <w:pPr>
        <w:pStyle w:val="Heading1"/>
        <w:numPr>
          <w:ilvl w:val="0"/>
          <w:numId w:val="1"/>
        </w:numPr>
        <w:tabs>
          <w:tab w:pos="2511" w:val="left" w:leader="none"/>
        </w:tabs>
        <w:spacing w:line="298" w:lineRule="exact" w:before="1" w:after="0"/>
        <w:ind w:left="2511" w:right="0" w:hanging="406"/>
        <w:jc w:val="left"/>
      </w:pPr>
      <w:r>
        <w:rPr>
          <w:spacing w:val="-2"/>
        </w:rPr>
        <w:t>NOMENCLATURA</w:t>
      </w:r>
      <w:r>
        <w:rPr>
          <w:spacing w:val="6"/>
        </w:rPr>
        <w:t> </w:t>
      </w:r>
      <w:r>
        <w:rPr>
          <w:spacing w:val="-2"/>
        </w:rPr>
        <w:t>CATASTRAL:</w:t>
      </w:r>
    </w:p>
    <w:p>
      <w:pPr>
        <w:pStyle w:val="BodyText"/>
        <w:spacing w:line="298" w:lineRule="exact"/>
        <w:ind w:left="2511"/>
      </w:pPr>
      <w:r>
        <w:rPr/>
        <w:t>Circunscripción</w:t>
      </w:r>
      <w:r>
        <w:rPr>
          <w:spacing w:val="13"/>
        </w:rPr>
        <w:t> </w:t>
      </w:r>
      <w:r>
        <w:rPr/>
        <w:t>II—</w:t>
      </w:r>
      <w:r>
        <w:rPr>
          <w:spacing w:val="14"/>
        </w:rPr>
        <w:t> </w:t>
      </w:r>
      <w:r>
        <w:rPr/>
        <w:t>Sección</w:t>
      </w:r>
      <w:r>
        <w:rPr>
          <w:spacing w:val="14"/>
        </w:rPr>
        <w:t> </w:t>
      </w:r>
      <w:r>
        <w:rPr/>
        <w:t>"B"</w:t>
      </w:r>
      <w:r>
        <w:rPr>
          <w:spacing w:val="14"/>
        </w:rPr>
        <w:t> </w:t>
      </w:r>
      <w:r>
        <w:rPr/>
        <w:t>—</w:t>
      </w:r>
      <w:r>
        <w:rPr>
          <w:spacing w:val="16"/>
        </w:rPr>
        <w:t> </w:t>
      </w:r>
      <w:r>
        <w:rPr/>
        <w:t>Chacra</w:t>
      </w:r>
      <w:r>
        <w:rPr>
          <w:spacing w:val="15"/>
        </w:rPr>
        <w:t> </w:t>
      </w:r>
      <w:r>
        <w:rPr/>
        <w:t>110</w:t>
      </w:r>
      <w:r>
        <w:rPr>
          <w:spacing w:val="14"/>
        </w:rPr>
        <w:t> </w:t>
      </w:r>
      <w:r>
        <w:rPr/>
        <w:t>—</w:t>
      </w:r>
      <w:r>
        <w:rPr>
          <w:spacing w:val="14"/>
        </w:rPr>
        <w:t> </w:t>
      </w:r>
      <w:r>
        <w:rPr>
          <w:spacing w:val="-2"/>
        </w:rPr>
        <w:t>Parcela</w:t>
      </w:r>
    </w:p>
    <w:p>
      <w:pPr>
        <w:pStyle w:val="BodyText"/>
        <w:spacing w:line="298" w:lineRule="exact" w:before="1"/>
        <w:ind w:left="2511"/>
      </w:pPr>
      <w:r>
        <w:rPr/>
        <w:t>24.</w:t>
      </w:r>
      <w:r>
        <w:rPr>
          <w:spacing w:val="-8"/>
        </w:rPr>
        <w:t> </w:t>
      </w:r>
      <w:r>
        <w:rPr/>
        <w:t>Superficie:</w:t>
      </w:r>
      <w:r>
        <w:rPr>
          <w:spacing w:val="-7"/>
        </w:rPr>
        <w:t> </w:t>
      </w:r>
      <w:r>
        <w:rPr/>
        <w:t>10.003,60</w:t>
      </w:r>
      <w:r>
        <w:rPr>
          <w:spacing w:val="-5"/>
        </w:rPr>
        <w:t> m2</w:t>
      </w:r>
    </w:p>
    <w:p>
      <w:pPr>
        <w:pStyle w:val="BodyText"/>
        <w:ind w:left="2511"/>
      </w:pPr>
      <w:r>
        <w:rPr/>
        <w:t>Propietarios: PÉREZ; José María, PÉREZ, Omar Eduardo y PÉREZ, Stella Mary.</w:t>
      </w:r>
    </w:p>
    <w:p>
      <w:pPr>
        <w:pStyle w:val="BodyText"/>
        <w:spacing w:line="298" w:lineRule="exact" w:before="1"/>
        <w:ind w:left="2511"/>
      </w:pPr>
      <w:r>
        <w:rPr/>
        <w:t>Folio</w:t>
      </w:r>
      <w:r>
        <w:rPr>
          <w:spacing w:val="-5"/>
        </w:rPr>
        <w:t> </w:t>
      </w:r>
      <w:r>
        <w:rPr/>
        <w:t>Real</w:t>
      </w:r>
      <w:r>
        <w:rPr>
          <w:spacing w:val="-3"/>
        </w:rPr>
        <w:t> </w:t>
      </w:r>
      <w:r>
        <w:rPr/>
        <w:t>Matrícula</w:t>
      </w:r>
      <w:r>
        <w:rPr>
          <w:spacing w:val="-5"/>
        </w:rPr>
        <w:t> </w:t>
      </w:r>
      <w:r>
        <w:rPr/>
        <w:t>N°</w:t>
      </w:r>
      <w:r>
        <w:rPr>
          <w:spacing w:val="-6"/>
        </w:rPr>
        <w:t> </w:t>
      </w:r>
      <w:r>
        <w:rPr>
          <w:spacing w:val="-2"/>
        </w:rPr>
        <w:t>33.400</w:t>
      </w:r>
    </w:p>
    <w:p>
      <w:pPr>
        <w:pStyle w:val="Heading1"/>
        <w:numPr>
          <w:ilvl w:val="0"/>
          <w:numId w:val="1"/>
        </w:numPr>
        <w:tabs>
          <w:tab w:pos="2509" w:val="left" w:leader="none"/>
        </w:tabs>
        <w:spacing w:line="298" w:lineRule="exact" w:before="0" w:after="0"/>
        <w:ind w:left="2509" w:right="0" w:hanging="404"/>
        <w:jc w:val="left"/>
      </w:pPr>
      <w:r>
        <w:rPr>
          <w:spacing w:val="-2"/>
        </w:rPr>
        <w:t>NOMENCLATURA</w:t>
      </w:r>
      <w:r>
        <w:rPr>
          <w:spacing w:val="6"/>
        </w:rPr>
        <w:t> </w:t>
      </w:r>
      <w:r>
        <w:rPr>
          <w:spacing w:val="-2"/>
        </w:rPr>
        <w:t>CATASTRAL:</w:t>
      </w:r>
    </w:p>
    <w:p>
      <w:pPr>
        <w:pStyle w:val="BodyText"/>
        <w:spacing w:line="298" w:lineRule="exact" w:before="1"/>
        <w:ind w:left="2511"/>
      </w:pPr>
      <w:r>
        <w:rPr/>
        <w:t>Circunscripción</w:t>
      </w:r>
      <w:r>
        <w:rPr>
          <w:spacing w:val="4"/>
        </w:rPr>
        <w:t> </w:t>
      </w:r>
      <w:r>
        <w:rPr/>
        <w:t>II</w:t>
      </w:r>
      <w:r>
        <w:rPr>
          <w:spacing w:val="7"/>
        </w:rPr>
        <w:t> </w:t>
      </w:r>
      <w:r>
        <w:rPr/>
        <w:t>—</w:t>
      </w:r>
      <w:r>
        <w:rPr>
          <w:spacing w:val="7"/>
        </w:rPr>
        <w:t> </w:t>
      </w:r>
      <w:r>
        <w:rPr/>
        <w:t>Sección</w:t>
      </w:r>
      <w:r>
        <w:rPr>
          <w:spacing w:val="4"/>
        </w:rPr>
        <w:t> </w:t>
      </w:r>
      <w:r>
        <w:rPr/>
        <w:t>"B"</w:t>
      </w:r>
      <w:r>
        <w:rPr>
          <w:spacing w:val="6"/>
        </w:rPr>
        <w:t> </w:t>
      </w:r>
      <w:r>
        <w:rPr/>
        <w:t>—</w:t>
      </w:r>
      <w:r>
        <w:rPr>
          <w:spacing w:val="5"/>
        </w:rPr>
        <w:t> </w:t>
      </w:r>
      <w:r>
        <w:rPr/>
        <w:t>Chacra</w:t>
      </w:r>
      <w:r>
        <w:rPr>
          <w:spacing w:val="7"/>
        </w:rPr>
        <w:t> </w:t>
      </w:r>
      <w:r>
        <w:rPr/>
        <w:t>110</w:t>
      </w:r>
      <w:r>
        <w:rPr>
          <w:spacing w:val="4"/>
        </w:rPr>
        <w:t> </w:t>
      </w:r>
      <w:r>
        <w:rPr/>
        <w:t>—</w:t>
      </w:r>
      <w:r>
        <w:rPr>
          <w:spacing w:val="7"/>
        </w:rPr>
        <w:t> </w:t>
      </w:r>
      <w:r>
        <w:rPr>
          <w:spacing w:val="-2"/>
        </w:rPr>
        <w:t>Parcela</w:t>
      </w:r>
    </w:p>
    <w:p>
      <w:pPr>
        <w:pStyle w:val="BodyText"/>
        <w:ind w:left="2511" w:right="2580"/>
      </w:pPr>
      <w:r>
        <w:rPr/>
        <w:t>25. Superficie: 10.003,60 m2 Propietario:</w:t>
      </w:r>
      <w:r>
        <w:rPr>
          <w:spacing w:val="-13"/>
        </w:rPr>
        <w:t> </w:t>
      </w:r>
      <w:r>
        <w:rPr/>
        <w:t>PÉREZ,</w:t>
      </w:r>
      <w:r>
        <w:rPr>
          <w:spacing w:val="-13"/>
        </w:rPr>
        <w:t> </w:t>
      </w:r>
      <w:r>
        <w:rPr/>
        <w:t>Stella</w:t>
      </w:r>
      <w:r>
        <w:rPr>
          <w:spacing w:val="-12"/>
        </w:rPr>
        <w:t> </w:t>
      </w:r>
      <w:r>
        <w:rPr/>
        <w:t>Mary Folio Real Matrícula N° 33.401</w:t>
      </w:r>
    </w:p>
    <w:p>
      <w:pPr>
        <w:pStyle w:val="Heading1"/>
        <w:numPr>
          <w:ilvl w:val="0"/>
          <w:numId w:val="1"/>
        </w:numPr>
        <w:tabs>
          <w:tab w:pos="2511" w:val="left" w:leader="none"/>
        </w:tabs>
        <w:spacing w:line="240" w:lineRule="auto" w:before="0" w:after="0"/>
        <w:ind w:left="2511" w:right="0" w:hanging="406"/>
        <w:jc w:val="left"/>
      </w:pPr>
      <w:r>
        <w:rPr>
          <w:spacing w:val="-2"/>
        </w:rPr>
        <w:t>NOMENCLATURA</w:t>
      </w:r>
      <w:r>
        <w:rPr>
          <w:spacing w:val="6"/>
        </w:rPr>
        <w:t> </w:t>
      </w:r>
      <w:r>
        <w:rPr>
          <w:spacing w:val="-2"/>
        </w:rPr>
        <w:t>CATASTRAL:</w:t>
      </w:r>
    </w:p>
    <w:p>
      <w:pPr>
        <w:pStyle w:val="BodyText"/>
        <w:spacing w:line="298" w:lineRule="exact" w:before="1"/>
        <w:ind w:left="2511"/>
      </w:pPr>
      <w:r>
        <w:rPr/>
        <w:t>Circunscripción</w:t>
      </w:r>
      <w:r>
        <w:rPr>
          <w:spacing w:val="4"/>
        </w:rPr>
        <w:t> </w:t>
      </w:r>
      <w:r>
        <w:rPr/>
        <w:t>II</w:t>
      </w:r>
      <w:r>
        <w:rPr>
          <w:spacing w:val="7"/>
        </w:rPr>
        <w:t> </w:t>
      </w:r>
      <w:r>
        <w:rPr/>
        <w:t>—</w:t>
      </w:r>
      <w:r>
        <w:rPr>
          <w:spacing w:val="7"/>
        </w:rPr>
        <w:t> </w:t>
      </w:r>
      <w:r>
        <w:rPr/>
        <w:t>Sección</w:t>
      </w:r>
      <w:r>
        <w:rPr>
          <w:spacing w:val="4"/>
        </w:rPr>
        <w:t> </w:t>
      </w:r>
      <w:r>
        <w:rPr/>
        <w:t>"B"</w:t>
      </w:r>
      <w:r>
        <w:rPr>
          <w:spacing w:val="6"/>
        </w:rPr>
        <w:t> </w:t>
      </w:r>
      <w:r>
        <w:rPr/>
        <w:t>—</w:t>
      </w:r>
      <w:r>
        <w:rPr>
          <w:spacing w:val="5"/>
        </w:rPr>
        <w:t> </w:t>
      </w:r>
      <w:r>
        <w:rPr/>
        <w:t>Chacra</w:t>
      </w:r>
      <w:r>
        <w:rPr>
          <w:spacing w:val="7"/>
        </w:rPr>
        <w:t> </w:t>
      </w:r>
      <w:r>
        <w:rPr/>
        <w:t>110</w:t>
      </w:r>
      <w:r>
        <w:rPr>
          <w:spacing w:val="4"/>
        </w:rPr>
        <w:t> </w:t>
      </w:r>
      <w:r>
        <w:rPr/>
        <w:t>—</w:t>
      </w:r>
      <w:r>
        <w:rPr>
          <w:spacing w:val="7"/>
        </w:rPr>
        <w:t> </w:t>
      </w:r>
      <w:r>
        <w:rPr>
          <w:spacing w:val="-2"/>
        </w:rPr>
        <w:t>Parcela</w:t>
      </w:r>
    </w:p>
    <w:p>
      <w:pPr>
        <w:pStyle w:val="BodyText"/>
        <w:ind w:left="2511" w:right="2580"/>
      </w:pPr>
      <w:r>
        <w:rPr/>
        <w:t>26. Superficie: 10.003,60 m2 Propietario:</w:t>
      </w:r>
      <w:r>
        <w:rPr>
          <w:spacing w:val="-14"/>
        </w:rPr>
        <w:t> </w:t>
      </w:r>
      <w:r>
        <w:rPr/>
        <w:t>PÉREZ,</w:t>
      </w:r>
      <w:r>
        <w:rPr>
          <w:spacing w:val="-14"/>
        </w:rPr>
        <w:t> </w:t>
      </w:r>
      <w:r>
        <w:rPr/>
        <w:t>Omar</w:t>
      </w:r>
      <w:r>
        <w:rPr>
          <w:spacing w:val="-12"/>
        </w:rPr>
        <w:t> </w:t>
      </w:r>
      <w:r>
        <w:rPr/>
        <w:t>Eduardo. Folio Real Matrícula N° 33.402</w:t>
      </w:r>
    </w:p>
    <w:p>
      <w:pPr>
        <w:pStyle w:val="BodyText"/>
        <w:spacing w:before="298"/>
        <w:ind w:left="101" w:right="113"/>
        <w:jc w:val="both"/>
      </w:pPr>
      <w:r>
        <w:rPr/>
        <w:t>ARTÍCULO 2°: Facúltase al Poder Ejecutivo Provincial a tramitar la presente expropiación, para que a través del Instituto Provincial de Desarrollo Urbano y Vivienda, previo censo poblacional al momento de sanción de la presente ley, sea adjudicado en venta a los actuales ocupantes, teniendo en cuenta el porcentual permitido para desarrollo urbanístico, según informe de la Administración Provincial del Agua.</w:t>
      </w:r>
    </w:p>
    <w:p>
      <w:pPr>
        <w:pStyle w:val="BodyText"/>
      </w:pPr>
    </w:p>
    <w:p>
      <w:pPr>
        <w:pStyle w:val="BodyText"/>
        <w:ind w:left="101" w:right="116"/>
        <w:jc w:val="both"/>
      </w:pPr>
      <w:r>
        <w:rPr/>
        <w:t>ARTÍCULO 3°: El porcentual delimitado como zona prohibida y de restricción severa, deberá destinarse a Parque Urbano Ambiental, conforme al plano de mensura y subdivisión que oportunamente se confeccione.</w:t>
      </w:r>
    </w:p>
    <w:p>
      <w:pPr>
        <w:pStyle w:val="BodyText"/>
        <w:spacing w:before="1"/>
      </w:pPr>
    </w:p>
    <w:p>
      <w:pPr>
        <w:pStyle w:val="BodyText"/>
        <w:ind w:left="101" w:right="118"/>
        <w:jc w:val="both"/>
      </w:pPr>
      <w:r>
        <w:rPr/>
        <w:t>ARTÍCULO 4°: El Instituto Provincial de Desarrollo Urbano y Vivienda, efectuará los planes socioeconómicos de urbanización, mensura y tramitación de escritura, a favor de los ocupantes, inscribiéndolos como bien de familia.</w:t>
      </w:r>
    </w:p>
    <w:p>
      <w:pPr>
        <w:pStyle w:val="BodyText"/>
      </w:pPr>
    </w:p>
    <w:p>
      <w:pPr>
        <w:pStyle w:val="BodyText"/>
        <w:ind w:left="101" w:right="120"/>
        <w:jc w:val="both"/>
      </w:pPr>
      <w:r>
        <w:rPr/>
        <w:t>ARTÍCULO 5º: No podrán acceder al beneficio de esta ley, las personas que sean propietarias de otros inmuebles en la Provincia.</w:t>
      </w:r>
    </w:p>
    <w:p>
      <w:pPr>
        <w:spacing w:after="0"/>
        <w:jc w:val="both"/>
        <w:sectPr>
          <w:type w:val="continuous"/>
          <w:pgSz w:w="12240" w:h="15840"/>
          <w:pgMar w:top="1340" w:bottom="280" w:left="1600" w:right="1620"/>
        </w:sectPr>
      </w:pPr>
    </w:p>
    <w:p>
      <w:pPr>
        <w:pStyle w:val="BodyText"/>
        <w:spacing w:before="68"/>
        <w:ind w:left="101"/>
      </w:pPr>
      <w:r>
        <w:rPr/>
        <w:t>ARTÍCULO</w:t>
      </w:r>
      <w:r>
        <w:rPr>
          <w:spacing w:val="40"/>
        </w:rPr>
        <w:t> </w:t>
      </w:r>
      <w:r>
        <w:rPr/>
        <w:t>6°:</w:t>
      </w:r>
      <w:r>
        <w:rPr>
          <w:spacing w:val="40"/>
        </w:rPr>
        <w:t> </w:t>
      </w:r>
      <w:r>
        <w:rPr/>
        <w:t>El</w:t>
      </w:r>
      <w:r>
        <w:rPr>
          <w:spacing w:val="40"/>
        </w:rPr>
        <w:t> </w:t>
      </w:r>
      <w:r>
        <w:rPr/>
        <w:t>gasto</w:t>
      </w:r>
      <w:r>
        <w:rPr>
          <w:spacing w:val="40"/>
        </w:rPr>
        <w:t> </w:t>
      </w:r>
      <w:r>
        <w:rPr/>
        <w:t>que</w:t>
      </w:r>
      <w:r>
        <w:rPr>
          <w:spacing w:val="40"/>
        </w:rPr>
        <w:t> </w:t>
      </w:r>
      <w:r>
        <w:rPr/>
        <w:t>demande</w:t>
      </w:r>
      <w:r>
        <w:rPr>
          <w:spacing w:val="40"/>
        </w:rPr>
        <w:t> </w:t>
      </w:r>
      <w:r>
        <w:rPr/>
        <w:t>el</w:t>
      </w:r>
      <w:r>
        <w:rPr>
          <w:spacing w:val="40"/>
        </w:rPr>
        <w:t> </w:t>
      </w:r>
      <w:r>
        <w:rPr/>
        <w:t>cumplimiento</w:t>
      </w:r>
      <w:r>
        <w:rPr>
          <w:spacing w:val="40"/>
        </w:rPr>
        <w:t> </w:t>
      </w:r>
      <w:r>
        <w:rPr/>
        <w:t>de</w:t>
      </w:r>
      <w:r>
        <w:rPr>
          <w:spacing w:val="40"/>
        </w:rPr>
        <w:t> </w:t>
      </w:r>
      <w:r>
        <w:rPr/>
        <w:t>la</w:t>
      </w:r>
      <w:r>
        <w:rPr>
          <w:spacing w:val="40"/>
        </w:rPr>
        <w:t> </w:t>
      </w:r>
      <w:r>
        <w:rPr/>
        <w:t>presente</w:t>
      </w:r>
      <w:r>
        <w:rPr>
          <w:spacing w:val="40"/>
        </w:rPr>
        <w:t> </w:t>
      </w:r>
      <w:r>
        <w:rPr/>
        <w:t>ley,</w:t>
      </w:r>
      <w:r>
        <w:rPr>
          <w:spacing w:val="40"/>
        </w:rPr>
        <w:t> </w:t>
      </w:r>
      <w:r>
        <w:rPr/>
        <w:t>será imputado a la partida específica del Presupuesto General de la Provincia.</w:t>
      </w:r>
    </w:p>
    <w:p>
      <w:pPr>
        <w:pStyle w:val="BodyText"/>
        <w:spacing w:before="1"/>
      </w:pPr>
    </w:p>
    <w:p>
      <w:pPr>
        <w:pStyle w:val="BodyText"/>
        <w:ind w:left="101"/>
      </w:pPr>
      <w:r>
        <w:rPr/>
        <w:t>ARTÍCULO</w:t>
      </w:r>
      <w:r>
        <w:rPr>
          <w:spacing w:val="-7"/>
        </w:rPr>
        <w:t> </w:t>
      </w:r>
      <w:r>
        <w:rPr/>
        <w:t>7°:</w:t>
      </w:r>
      <w:r>
        <w:rPr>
          <w:spacing w:val="-5"/>
        </w:rPr>
        <w:t> </w:t>
      </w:r>
      <w:r>
        <w:rPr/>
        <w:t>Regístrese</w:t>
      </w:r>
      <w:r>
        <w:rPr>
          <w:spacing w:val="-3"/>
        </w:rPr>
        <w:t> </w:t>
      </w:r>
      <w:r>
        <w:rPr/>
        <w:t>y</w:t>
      </w:r>
      <w:r>
        <w:rPr>
          <w:spacing w:val="-11"/>
        </w:rPr>
        <w:t> </w:t>
      </w:r>
      <w:r>
        <w:rPr/>
        <w:t>comuníquese</w:t>
      </w:r>
      <w:r>
        <w:rPr>
          <w:spacing w:val="-4"/>
        </w:rPr>
        <w:t> </w:t>
      </w:r>
      <w:r>
        <w:rPr/>
        <w:t>al</w:t>
      </w:r>
      <w:r>
        <w:rPr>
          <w:spacing w:val="-5"/>
        </w:rPr>
        <w:t> </w:t>
      </w:r>
      <w:r>
        <w:rPr/>
        <w:t>Poder</w:t>
      </w:r>
      <w:r>
        <w:rPr>
          <w:spacing w:val="-6"/>
        </w:rPr>
        <w:t> </w:t>
      </w:r>
      <w:r>
        <w:rPr>
          <w:spacing w:val="-2"/>
        </w:rPr>
        <w:t>Ejecutivo.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"/>
        <w:ind w:left="4071" w:right="116"/>
        <w:jc w:val="both"/>
      </w:pPr>
      <w:r>
        <w:rPr/>
        <w:t>Dada en la Sala de Sesiones de la Cámara de Diputados de la Provincia del Chaco, a los treinta y</w:t>
      </w:r>
      <w:r>
        <w:rPr>
          <w:spacing w:val="-7"/>
        </w:rPr>
        <w:t> </w:t>
      </w:r>
      <w:r>
        <w:rPr/>
        <w:t>un</w:t>
      </w:r>
      <w:r>
        <w:rPr>
          <w:spacing w:val="-2"/>
        </w:rPr>
        <w:t> </w:t>
      </w:r>
      <w:r>
        <w:rPr/>
        <w:t>días</w:t>
      </w:r>
      <w:r>
        <w:rPr>
          <w:spacing w:val="-2"/>
        </w:rPr>
        <w:t> </w:t>
      </w:r>
      <w:r>
        <w:rPr/>
        <w:t>del</w:t>
      </w:r>
      <w:r>
        <w:rPr>
          <w:spacing w:val="-1"/>
        </w:rPr>
        <w:t> </w:t>
      </w:r>
      <w:r>
        <w:rPr/>
        <w:t>mes</w:t>
      </w:r>
      <w:r>
        <w:rPr>
          <w:spacing w:val="-2"/>
        </w:rPr>
        <w:t> </w:t>
      </w:r>
      <w:r>
        <w:rPr/>
        <w:t>de</w:t>
      </w:r>
      <w:r>
        <w:rPr>
          <w:spacing w:val="-1"/>
        </w:rPr>
        <w:t> </w:t>
      </w:r>
      <w:r>
        <w:rPr/>
        <w:t>marzo</w:t>
      </w:r>
      <w:r>
        <w:rPr>
          <w:spacing w:val="-2"/>
        </w:rPr>
        <w:t> </w:t>
      </w:r>
      <w:r>
        <w:rPr/>
        <w:t>del</w:t>
      </w:r>
      <w:r>
        <w:rPr>
          <w:spacing w:val="-2"/>
        </w:rPr>
        <w:t> </w:t>
      </w:r>
      <w:r>
        <w:rPr/>
        <w:t>año</w:t>
      </w:r>
      <w:r>
        <w:rPr>
          <w:spacing w:val="-2"/>
        </w:rPr>
        <w:t> </w:t>
      </w:r>
      <w:r>
        <w:rPr/>
        <w:t>dos mil diez.</w:t>
      </w:r>
    </w:p>
    <w:p>
      <w:pPr>
        <w:pStyle w:val="BodyText"/>
        <w:spacing w:before="297"/>
      </w:pPr>
    </w:p>
    <w:p>
      <w:pPr>
        <w:pStyle w:val="BodyText"/>
        <w:tabs>
          <w:tab w:pos="6315" w:val="left" w:leader="none"/>
        </w:tabs>
        <w:ind w:left="101"/>
      </w:pPr>
      <w:r>
        <w:rPr/>
        <w:t>Pablo</w:t>
      </w:r>
      <w:r>
        <w:rPr>
          <w:spacing w:val="-6"/>
        </w:rPr>
        <w:t> </w:t>
      </w:r>
      <w:r>
        <w:rPr/>
        <w:t>L.D.</w:t>
      </w:r>
      <w:r>
        <w:rPr>
          <w:spacing w:val="-3"/>
        </w:rPr>
        <w:t> </w:t>
      </w:r>
      <w:r>
        <w:rPr>
          <w:spacing w:val="-2"/>
        </w:rPr>
        <w:t>BOSCH</w:t>
      </w:r>
      <w:r>
        <w:rPr/>
        <w:tab/>
        <w:t>Juan</w:t>
      </w:r>
      <w:r>
        <w:rPr>
          <w:spacing w:val="-4"/>
        </w:rPr>
        <w:t> </w:t>
      </w:r>
      <w:r>
        <w:rPr/>
        <w:t>José</w:t>
      </w:r>
      <w:r>
        <w:rPr>
          <w:spacing w:val="-4"/>
        </w:rPr>
        <w:t> </w:t>
      </w:r>
      <w:r>
        <w:rPr>
          <w:spacing w:val="-2"/>
        </w:rPr>
        <w:t>BERGIA</w:t>
      </w:r>
    </w:p>
    <w:p>
      <w:pPr>
        <w:tabs>
          <w:tab w:pos="6504" w:val="left" w:leader="none"/>
        </w:tabs>
        <w:spacing w:line="298" w:lineRule="exact" w:before="1"/>
        <w:ind w:left="749" w:right="0" w:firstLine="0"/>
        <w:jc w:val="left"/>
        <w:rPr>
          <w:sz w:val="26"/>
        </w:rPr>
      </w:pPr>
      <w:r>
        <w:rPr>
          <w:spacing w:val="-2"/>
          <w:sz w:val="26"/>
        </w:rPr>
        <w:t>SECRETARIO</w:t>
      </w:r>
      <w:r>
        <w:rPr>
          <w:sz w:val="26"/>
        </w:rPr>
        <w:tab/>
      </w:r>
      <w:r>
        <w:rPr>
          <w:spacing w:val="-2"/>
          <w:sz w:val="26"/>
        </w:rPr>
        <w:t>PRESIDENTE</w:t>
      </w:r>
    </w:p>
    <w:p>
      <w:pPr>
        <w:tabs>
          <w:tab w:pos="5789" w:val="left" w:leader="none"/>
        </w:tabs>
        <w:spacing w:line="298" w:lineRule="exact" w:before="0"/>
        <w:ind w:left="101" w:right="0" w:firstLine="0"/>
        <w:jc w:val="left"/>
        <w:rPr>
          <w:sz w:val="26"/>
        </w:rPr>
      </w:pPr>
      <w:r>
        <w:rPr>
          <w:sz w:val="26"/>
        </w:rPr>
        <w:t>CAMARA</w:t>
      </w:r>
      <w:r>
        <w:rPr>
          <w:spacing w:val="-7"/>
          <w:sz w:val="26"/>
        </w:rPr>
        <w:t> </w:t>
      </w:r>
      <w:r>
        <w:rPr>
          <w:sz w:val="26"/>
        </w:rPr>
        <w:t>DE</w:t>
      </w:r>
      <w:r>
        <w:rPr>
          <w:spacing w:val="-6"/>
          <w:sz w:val="26"/>
        </w:rPr>
        <w:t> </w:t>
      </w:r>
      <w:r>
        <w:rPr>
          <w:spacing w:val="-2"/>
          <w:sz w:val="26"/>
        </w:rPr>
        <w:t>DIPUTADOS</w:t>
      </w:r>
      <w:r>
        <w:rPr>
          <w:sz w:val="26"/>
        </w:rPr>
        <w:tab/>
        <w:t>CAMARA</w:t>
      </w:r>
      <w:r>
        <w:rPr>
          <w:spacing w:val="-5"/>
          <w:sz w:val="26"/>
        </w:rPr>
        <w:t> </w:t>
      </w:r>
      <w:r>
        <w:rPr>
          <w:sz w:val="26"/>
        </w:rPr>
        <w:t>DE</w:t>
      </w:r>
      <w:r>
        <w:rPr>
          <w:spacing w:val="-6"/>
          <w:sz w:val="26"/>
        </w:rPr>
        <w:t> </w:t>
      </w:r>
      <w:r>
        <w:rPr>
          <w:spacing w:val="-2"/>
          <w:sz w:val="26"/>
        </w:rPr>
        <w:t>DIPUTADOS</w:t>
      </w:r>
    </w:p>
    <w:sectPr>
      <w:pgSz w:w="12240" w:h="15840"/>
      <w:pgMar w:top="1340" w:bottom="280" w:left="1600" w:right="1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lowerLetter"/>
      <w:lvlText w:val="%1)"/>
      <w:lvlJc w:val="left"/>
      <w:pPr>
        <w:ind w:left="2511" w:hanging="40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6"/>
        <w:szCs w:val="26"/>
        <w:lang w:val="es-ES" w:eastAsia="en-US" w:bidi="ar-SA"/>
      </w:rPr>
    </w:lvl>
    <w:lvl w:ilvl="1">
      <w:start w:val="0"/>
      <w:numFmt w:val="bullet"/>
      <w:lvlText w:val="•"/>
      <w:lvlJc w:val="left"/>
      <w:pPr>
        <w:ind w:left="3170" w:hanging="406"/>
      </w:pPr>
      <w:rPr>
        <w:rFonts w:hint="default"/>
        <w:lang w:val="es-ES" w:eastAsia="en-US" w:bidi="ar-SA"/>
      </w:rPr>
    </w:lvl>
    <w:lvl w:ilvl="2">
      <w:start w:val="0"/>
      <w:numFmt w:val="bullet"/>
      <w:lvlText w:val="•"/>
      <w:lvlJc w:val="left"/>
      <w:pPr>
        <w:ind w:left="3820" w:hanging="406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4470" w:hanging="406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5120" w:hanging="406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770" w:hanging="406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420" w:hanging="406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070" w:hanging="406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7720" w:hanging="406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6"/>
      <w:szCs w:val="26"/>
      <w:lang w:val="es-ES" w:eastAsia="en-US" w:bidi="ar-SA"/>
    </w:rPr>
  </w:style>
  <w:style w:styleId="Heading1" w:type="paragraph">
    <w:name w:val="Heading 1"/>
    <w:basedOn w:val="Normal"/>
    <w:uiPriority w:val="1"/>
    <w:qFormat/>
    <w:pPr>
      <w:spacing w:line="298" w:lineRule="exact"/>
      <w:ind w:left="2511" w:hanging="406"/>
      <w:outlineLvl w:val="1"/>
    </w:pPr>
    <w:rPr>
      <w:rFonts w:ascii="Times New Roman" w:hAnsi="Times New Roman" w:eastAsia="Times New Roman" w:cs="Times New Roman"/>
      <w:sz w:val="26"/>
      <w:szCs w:val="26"/>
      <w:lang w:val="es-ES" w:eastAsia="en-US" w:bidi="ar-SA"/>
    </w:rPr>
  </w:style>
  <w:style w:styleId="Title" w:type="paragraph">
    <w:name w:val="Title"/>
    <w:basedOn w:val="Normal"/>
    <w:uiPriority w:val="1"/>
    <w:qFormat/>
    <w:pPr>
      <w:ind w:left="1416" w:hanging="1016"/>
    </w:pPr>
    <w:rPr>
      <w:rFonts w:ascii="Times New Roman" w:hAnsi="Times New Roman" w:eastAsia="Times New Roman" w:cs="Times New Roman"/>
      <w:sz w:val="40"/>
      <w:szCs w:val="40"/>
      <w:lang w:val="es-ES" w:eastAsia="en-US" w:bidi="ar-SA"/>
    </w:rPr>
  </w:style>
  <w:style w:styleId="ListParagraph" w:type="paragraph">
    <w:name w:val="List Paragraph"/>
    <w:basedOn w:val="Normal"/>
    <w:uiPriority w:val="1"/>
    <w:qFormat/>
    <w:pPr>
      <w:spacing w:line="298" w:lineRule="exact"/>
      <w:ind w:left="2511" w:hanging="406"/>
    </w:pPr>
    <w:rPr>
      <w:rFonts w:ascii="Times New Roman" w:hAnsi="Times New Roman" w:eastAsia="Times New Roman" w:cs="Times New Roman"/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\376\377\000S\000i\000s\000t\000e\000m\000a\000s</dc:creator>
  <cp:keywords>()</cp:keywords>
  <dc:title>\376\377\000L\000e\000y\000 \0006\0005\0000\0001</dc:title>
  <dcterms:created xsi:type="dcterms:W3CDTF">2025-02-06T12:43:59Z</dcterms:created>
  <dcterms:modified xsi:type="dcterms:W3CDTF">2025-02-06T12:43:59Z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2010-05-14T00:00:00Z</vt:filetime>
  </property>
  <property fmtid="{D5CDD505-2E9C-101B-9397-08002B2CF9AE}" pid="3" name="Creator">
    <vt:lpwstr>\376\377\000P\000D\000F\000C\000r\000e\000a\000t\000o\000r\000 \000V\000e\000r\000s\000i\000o\000n\000 \0000\000.\0009\000.\0008</vt:lpwstr>
  </property>
  <property fmtid="{D5CDD505-2E9C-101B-9397-08002B2CF9AE}" pid="4" name="LastSaved">
    <vt:filetime>2025-02-06T00:00:00Z</vt:filetime>
  </property>
  <property fmtid="{D5CDD505-2E9C-101B-9397-08002B2CF9AE}" pid="5" name="Producer">
    <vt:lpwstr>GPL Ghostscript 8.64</vt:lpwstr>
  </property>
</Properties>
</file>